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23" w:rsidRDefault="00AC4DAA">
      <w:pPr>
        <w:jc w:val="center"/>
        <w:rPr>
          <w:b/>
          <w:sz w:val="32"/>
        </w:rPr>
      </w:pPr>
      <w:r>
        <w:rPr>
          <w:b/>
          <w:sz w:val="32"/>
        </w:rPr>
        <w:t xml:space="preserve">OPTIMISATION D’UN CONFORTEMENT </w:t>
      </w:r>
      <w:r w:rsidR="0080567C">
        <w:rPr>
          <w:b/>
          <w:sz w:val="32"/>
        </w:rPr>
        <w:t xml:space="preserve"> PAR CLOUAGE VERTICAL</w:t>
      </w:r>
      <w:r>
        <w:rPr>
          <w:b/>
          <w:sz w:val="32"/>
        </w:rPr>
        <w:t xml:space="preserve"> SUITE A RETOUR D’EXPERIENCE</w:t>
      </w:r>
    </w:p>
    <w:p w:rsidR="00A43D35" w:rsidRDefault="00A43D35">
      <w:pPr>
        <w:jc w:val="center"/>
        <w:rPr>
          <w:b/>
          <w:sz w:val="32"/>
        </w:rPr>
      </w:pPr>
    </w:p>
    <w:p w:rsidR="00655A5D" w:rsidRDefault="00655A5D">
      <w:pPr>
        <w:spacing w:line="360" w:lineRule="auto"/>
        <w:rPr>
          <w:b/>
        </w:rPr>
      </w:pPr>
      <w:r>
        <w:rPr>
          <w:b/>
        </w:rPr>
        <w:t>Vin</w:t>
      </w:r>
      <w:r w:rsidR="00AC4DAA">
        <w:rPr>
          <w:b/>
        </w:rPr>
        <w:t>cent TALFUMIERE</w:t>
      </w:r>
      <w:r w:rsidR="00143A81">
        <w:rPr>
          <w:b/>
        </w:rPr>
        <w:t xml:space="preserve">, </w:t>
      </w:r>
      <w:r w:rsidR="00AC4DAA">
        <w:rPr>
          <w:b/>
        </w:rPr>
        <w:t>Florence BELUT, Fatima LUCAS</w:t>
      </w:r>
    </w:p>
    <w:p w:rsidR="00143A81" w:rsidRDefault="00143A81">
      <w:pPr>
        <w:spacing w:line="360" w:lineRule="auto"/>
        <w:rPr>
          <w:b/>
        </w:rPr>
      </w:pPr>
      <w:r>
        <w:rPr>
          <w:b/>
        </w:rPr>
        <w:t>SNCF – Direction I&amp;P – LA PLAINE ST DENIS</w:t>
      </w:r>
    </w:p>
    <w:p w:rsidR="00A43D35" w:rsidRDefault="00A43D35">
      <w:pPr>
        <w:spacing w:line="360" w:lineRule="auto"/>
        <w:rPr>
          <w:b/>
        </w:rPr>
      </w:pPr>
    </w:p>
    <w:p w:rsidR="00C95423" w:rsidRDefault="00F43AF9">
      <w:pPr>
        <w:spacing w:line="360" w:lineRule="auto"/>
        <w:rPr>
          <w:b/>
        </w:rPr>
      </w:pPr>
      <w:r>
        <w:rPr>
          <w:b/>
        </w:rPr>
        <w:t>Résumé</w:t>
      </w:r>
    </w:p>
    <w:p w:rsidR="00C95423" w:rsidRDefault="00AC4DAA">
      <w:pPr>
        <w:autoSpaceDE w:val="0"/>
        <w:autoSpaceDN w:val="0"/>
        <w:adjustRightInd w:val="0"/>
        <w:spacing w:after="120" w:line="360" w:lineRule="auto"/>
        <w:jc w:val="both"/>
        <w:rPr>
          <w:bCs/>
          <w:iCs/>
        </w:rPr>
      </w:pPr>
      <w:r>
        <w:rPr>
          <w:bCs/>
          <w:iCs/>
        </w:rPr>
        <w:t xml:space="preserve">La ligne </w:t>
      </w:r>
      <w:r w:rsidR="0080567C">
        <w:rPr>
          <w:bCs/>
          <w:iCs/>
        </w:rPr>
        <w:t>ferroviaire Paris-Le Havre</w:t>
      </w:r>
      <w:r w:rsidR="00193190">
        <w:rPr>
          <w:bCs/>
          <w:iCs/>
        </w:rPr>
        <w:t>,</w:t>
      </w:r>
      <w:r w:rsidR="0080567C">
        <w:rPr>
          <w:bCs/>
          <w:iCs/>
        </w:rPr>
        <w:t xml:space="preserve"> </w:t>
      </w:r>
      <w:r>
        <w:rPr>
          <w:bCs/>
          <w:iCs/>
        </w:rPr>
        <w:t>circulée depuis le milieu du 19</w:t>
      </w:r>
      <w:r w:rsidRPr="00AC4DAA">
        <w:rPr>
          <w:bCs/>
          <w:iCs/>
          <w:vertAlign w:val="superscript"/>
        </w:rPr>
        <w:t>ème</w:t>
      </w:r>
      <w:r>
        <w:rPr>
          <w:bCs/>
          <w:iCs/>
        </w:rPr>
        <w:t xml:space="preserve"> siècle</w:t>
      </w:r>
      <w:r w:rsidR="00193190">
        <w:rPr>
          <w:bCs/>
          <w:iCs/>
        </w:rPr>
        <w:t xml:space="preserve">, </w:t>
      </w:r>
      <w:r w:rsidR="00193190">
        <w:rPr>
          <w:bCs/>
          <w:iCs/>
        </w:rPr>
        <w:t>est établie en grand remblai</w:t>
      </w:r>
      <w:r w:rsidR="00193190">
        <w:rPr>
          <w:bCs/>
          <w:iCs/>
        </w:rPr>
        <w:t xml:space="preserve"> </w:t>
      </w:r>
      <w:r w:rsidR="00193190">
        <w:rPr>
          <w:bCs/>
          <w:iCs/>
        </w:rPr>
        <w:t>sur versant</w:t>
      </w:r>
      <w:r w:rsidR="00193190">
        <w:rPr>
          <w:bCs/>
          <w:iCs/>
        </w:rPr>
        <w:t xml:space="preserve"> à</w:t>
      </w:r>
      <w:r w:rsidR="00193190">
        <w:rPr>
          <w:bCs/>
          <w:iCs/>
        </w:rPr>
        <w:t xml:space="preserve"> </w:t>
      </w:r>
      <w:r>
        <w:rPr>
          <w:bCs/>
          <w:iCs/>
        </w:rPr>
        <w:t xml:space="preserve">hauteur de la ville de Pavilly. En </w:t>
      </w:r>
      <w:r w:rsidR="001223F2">
        <w:rPr>
          <w:bCs/>
          <w:iCs/>
        </w:rPr>
        <w:t>1961</w:t>
      </w:r>
      <w:r>
        <w:rPr>
          <w:bCs/>
          <w:iCs/>
        </w:rPr>
        <w:t xml:space="preserve">, suite à des travaux majeurs d’élargissement de plate-forme pour éviter un tunnel en très mauvais état, le remblai ferroviaire </w:t>
      </w:r>
      <w:r w:rsidR="0080567C">
        <w:rPr>
          <w:bCs/>
          <w:iCs/>
        </w:rPr>
        <w:t>s’est en partie effondré</w:t>
      </w:r>
      <w:r w:rsidR="00193190">
        <w:rPr>
          <w:bCs/>
          <w:iCs/>
        </w:rPr>
        <w:t>. Le</w:t>
      </w:r>
      <w:r w:rsidR="0080567C">
        <w:rPr>
          <w:bCs/>
          <w:iCs/>
        </w:rPr>
        <w:t xml:space="preserve"> glissement </w:t>
      </w:r>
      <w:r w:rsidR="001223F2">
        <w:rPr>
          <w:bCs/>
          <w:iCs/>
        </w:rPr>
        <w:t>impact</w:t>
      </w:r>
      <w:r w:rsidR="00193190">
        <w:rPr>
          <w:bCs/>
          <w:iCs/>
        </w:rPr>
        <w:t>e</w:t>
      </w:r>
      <w:r w:rsidR="001223F2">
        <w:rPr>
          <w:bCs/>
          <w:iCs/>
        </w:rPr>
        <w:t xml:space="preserve"> la voie </w:t>
      </w:r>
      <w:r w:rsidR="00193190">
        <w:rPr>
          <w:bCs/>
          <w:iCs/>
        </w:rPr>
        <w:t xml:space="preserve">sur </w:t>
      </w:r>
      <w:r w:rsidR="00193190">
        <w:rPr>
          <w:bCs/>
          <w:iCs/>
        </w:rPr>
        <w:t xml:space="preserve">une centaine de mètres </w:t>
      </w:r>
      <w:r w:rsidR="001223F2">
        <w:rPr>
          <w:bCs/>
          <w:iCs/>
        </w:rPr>
        <w:t xml:space="preserve">et </w:t>
      </w:r>
      <w:r>
        <w:rPr>
          <w:bCs/>
          <w:iCs/>
        </w:rPr>
        <w:t>débouch</w:t>
      </w:r>
      <w:r w:rsidR="00193190">
        <w:rPr>
          <w:bCs/>
          <w:iCs/>
        </w:rPr>
        <w:t>e</w:t>
      </w:r>
      <w:r>
        <w:rPr>
          <w:bCs/>
          <w:iCs/>
        </w:rPr>
        <w:t xml:space="preserve"> en pied de versant à </w:t>
      </w:r>
      <w:r w:rsidR="0080567C">
        <w:rPr>
          <w:bCs/>
          <w:iCs/>
        </w:rPr>
        <w:t>150</w:t>
      </w:r>
      <w:r w:rsidR="0080567C">
        <w:rPr>
          <w:bCs/>
          <w:iCs/>
        </w:rPr>
        <w:t xml:space="preserve"> </w:t>
      </w:r>
      <w:r>
        <w:rPr>
          <w:bCs/>
          <w:iCs/>
        </w:rPr>
        <w:t xml:space="preserve">mètres </w:t>
      </w:r>
      <w:r w:rsidR="0080567C">
        <w:rPr>
          <w:bCs/>
          <w:iCs/>
        </w:rPr>
        <w:t>en aval</w:t>
      </w:r>
      <w:r w:rsidR="00193190">
        <w:rPr>
          <w:bCs/>
          <w:iCs/>
        </w:rPr>
        <w:t xml:space="preserve"> de l’ouvrage (13000 m</w:t>
      </w:r>
      <w:r w:rsidR="00193190" w:rsidRPr="00193190">
        <w:rPr>
          <w:bCs/>
          <w:iCs/>
          <w:vertAlign w:val="superscript"/>
        </w:rPr>
        <w:t>3</w:t>
      </w:r>
      <w:r w:rsidR="00193190">
        <w:rPr>
          <w:bCs/>
          <w:iCs/>
        </w:rPr>
        <w:t>)</w:t>
      </w:r>
      <w:r>
        <w:rPr>
          <w:bCs/>
          <w:iCs/>
        </w:rPr>
        <w:t>.</w:t>
      </w:r>
    </w:p>
    <w:p w:rsidR="00AC4DAA" w:rsidRDefault="00AC4DAA">
      <w:pPr>
        <w:autoSpaceDE w:val="0"/>
        <w:autoSpaceDN w:val="0"/>
        <w:adjustRightInd w:val="0"/>
        <w:spacing w:after="120" w:line="360" w:lineRule="auto"/>
        <w:jc w:val="both"/>
        <w:rPr>
          <w:bCs/>
          <w:iCs/>
        </w:rPr>
      </w:pPr>
      <w:r>
        <w:rPr>
          <w:bCs/>
          <w:iCs/>
        </w:rPr>
        <w:t>Malgré plusieurs phases de confortement, l’ouvrage comporte toujours des mouvements actifs qui nécessit</w:t>
      </w:r>
      <w:r w:rsidR="0080567C">
        <w:rPr>
          <w:bCs/>
          <w:iCs/>
        </w:rPr>
        <w:t>ent</w:t>
      </w:r>
      <w:r>
        <w:rPr>
          <w:bCs/>
          <w:iCs/>
        </w:rPr>
        <w:t xml:space="preserve"> une nouvelle phase de traitement pour assurer sa stabilité</w:t>
      </w:r>
      <w:r w:rsidR="00A333CB">
        <w:rPr>
          <w:bCs/>
          <w:iCs/>
        </w:rPr>
        <w:t xml:space="preserve"> et la sécurité des circulations ferroviaires.</w:t>
      </w:r>
    </w:p>
    <w:p w:rsidR="00A333CB" w:rsidRDefault="001223F2">
      <w:pPr>
        <w:autoSpaceDE w:val="0"/>
        <w:autoSpaceDN w:val="0"/>
        <w:adjustRightInd w:val="0"/>
        <w:spacing w:after="120" w:line="360" w:lineRule="auto"/>
        <w:jc w:val="both"/>
        <w:rPr>
          <w:bCs/>
          <w:iCs/>
        </w:rPr>
      </w:pPr>
      <w:r>
        <w:rPr>
          <w:bCs/>
          <w:iCs/>
        </w:rPr>
        <w:t>Ces travaux consistent en</w:t>
      </w:r>
      <w:r w:rsidR="00A333CB">
        <w:rPr>
          <w:bCs/>
          <w:iCs/>
        </w:rPr>
        <w:t xml:space="preserve"> un clouage vertical par pieux forés </w:t>
      </w:r>
      <w:r>
        <w:rPr>
          <w:bCs/>
          <w:iCs/>
        </w:rPr>
        <w:t xml:space="preserve">armés </w:t>
      </w:r>
      <w:r w:rsidR="00A333CB">
        <w:rPr>
          <w:bCs/>
          <w:iCs/>
        </w:rPr>
        <w:t xml:space="preserve">de gros diamètre </w:t>
      </w:r>
      <w:r w:rsidR="00B86F2E">
        <w:rPr>
          <w:bCs/>
          <w:iCs/>
        </w:rPr>
        <w:t>(800 mm)</w:t>
      </w:r>
      <w:r>
        <w:rPr>
          <w:bCs/>
          <w:iCs/>
        </w:rPr>
        <w:t>, de profondeur 23 m,</w:t>
      </w:r>
      <w:r w:rsidR="00B86F2E">
        <w:rPr>
          <w:bCs/>
          <w:iCs/>
        </w:rPr>
        <w:t xml:space="preserve"> </w:t>
      </w:r>
      <w:r w:rsidR="00A333CB">
        <w:rPr>
          <w:bCs/>
          <w:iCs/>
        </w:rPr>
        <w:t xml:space="preserve">dont le dimensionnement demande un maillage </w:t>
      </w:r>
      <w:r>
        <w:rPr>
          <w:bCs/>
          <w:iCs/>
        </w:rPr>
        <w:t>dense</w:t>
      </w:r>
      <w:r w:rsidR="00A333CB">
        <w:rPr>
          <w:bCs/>
          <w:iCs/>
        </w:rPr>
        <w:t xml:space="preserve">, compte tenu des masses à reprendre et de la profondeur de la surface de rupture. </w:t>
      </w:r>
      <w:r>
        <w:rPr>
          <w:bCs/>
          <w:iCs/>
        </w:rPr>
        <w:t>Devant l’ampleur des travaux, des réflexions ont été menées pour rechercher des pistes d’optimisation.</w:t>
      </w:r>
    </w:p>
    <w:p w:rsidR="00A333CB" w:rsidRDefault="00CB7B11">
      <w:pPr>
        <w:autoSpaceDE w:val="0"/>
        <w:autoSpaceDN w:val="0"/>
        <w:adjustRightInd w:val="0"/>
        <w:spacing w:after="120" w:line="360" w:lineRule="auto"/>
        <w:jc w:val="both"/>
        <w:rPr>
          <w:bCs/>
          <w:iCs/>
        </w:rPr>
      </w:pPr>
      <w:r>
        <w:rPr>
          <w:bCs/>
          <w:iCs/>
        </w:rPr>
        <w:t>Ainsi, un retour d’expérience a été entrepris sur ce type de confortement, utilisé d</w:t>
      </w:r>
      <w:r w:rsidR="00B86F2E">
        <w:rPr>
          <w:bCs/>
          <w:iCs/>
        </w:rPr>
        <w:t xml:space="preserve">epuis plus de </w:t>
      </w:r>
      <w:r>
        <w:rPr>
          <w:bCs/>
          <w:iCs/>
        </w:rPr>
        <w:t>4</w:t>
      </w:r>
      <w:r>
        <w:rPr>
          <w:bCs/>
          <w:iCs/>
        </w:rPr>
        <w:t xml:space="preserve">0 </w:t>
      </w:r>
      <w:r w:rsidR="00B86F2E">
        <w:rPr>
          <w:bCs/>
          <w:iCs/>
        </w:rPr>
        <w:t xml:space="preserve">ans sur le réseau ferré national. : ce REX a montré que </w:t>
      </w:r>
      <w:r w:rsidR="00A26FFB">
        <w:rPr>
          <w:bCs/>
          <w:iCs/>
        </w:rPr>
        <w:t>les mouvements étaient réduits</w:t>
      </w:r>
      <w:r w:rsidR="00B86F2E">
        <w:rPr>
          <w:bCs/>
          <w:iCs/>
        </w:rPr>
        <w:t xml:space="preserve"> très tôt après la mise en place des clous, avec des déplacements bien inférieurs à ceux estimés en phase conception. Il est donc apparu </w:t>
      </w:r>
      <w:r w:rsidR="00A26FFB">
        <w:rPr>
          <w:bCs/>
          <w:iCs/>
        </w:rPr>
        <w:t xml:space="preserve">possible </w:t>
      </w:r>
      <w:r w:rsidR="00B86F2E">
        <w:rPr>
          <w:bCs/>
          <w:iCs/>
        </w:rPr>
        <w:t xml:space="preserve">d’optimiser le dimensionnement en diminuant </w:t>
      </w:r>
      <w:r w:rsidR="00A26FFB">
        <w:rPr>
          <w:bCs/>
          <w:iCs/>
        </w:rPr>
        <w:t>l’objectif d’amélioration du coefficient de sécurité</w:t>
      </w:r>
      <w:r w:rsidR="00A26FFB">
        <w:rPr>
          <w:bCs/>
          <w:iCs/>
        </w:rPr>
        <w:t xml:space="preserve"> et donc </w:t>
      </w:r>
      <w:r w:rsidR="00B86F2E">
        <w:rPr>
          <w:bCs/>
          <w:iCs/>
        </w:rPr>
        <w:t>le maillage</w:t>
      </w:r>
      <w:r w:rsidR="00193190">
        <w:rPr>
          <w:bCs/>
          <w:iCs/>
        </w:rPr>
        <w:t xml:space="preserve"> des pieux</w:t>
      </w:r>
      <w:r w:rsidR="00B86F2E">
        <w:rPr>
          <w:bCs/>
          <w:iCs/>
        </w:rPr>
        <w:t>.</w:t>
      </w:r>
    </w:p>
    <w:p w:rsidR="00B86F2E" w:rsidRDefault="002C7A60">
      <w:pPr>
        <w:autoSpaceDE w:val="0"/>
        <w:autoSpaceDN w:val="0"/>
        <w:adjustRightInd w:val="0"/>
        <w:spacing w:after="120" w:line="360" w:lineRule="auto"/>
        <w:jc w:val="both"/>
        <w:rPr>
          <w:bCs/>
          <w:iCs/>
        </w:rPr>
      </w:pPr>
      <w:r>
        <w:rPr>
          <w:bCs/>
          <w:iCs/>
        </w:rPr>
        <w:t xml:space="preserve">Après les travaux de confortement, </w:t>
      </w:r>
      <w:r w:rsidR="00B86F2E">
        <w:rPr>
          <w:bCs/>
          <w:iCs/>
        </w:rPr>
        <w:t xml:space="preserve">il conviendra de suivre l’évolution du site de façon à </w:t>
      </w:r>
      <w:r w:rsidR="00A26FFB">
        <w:rPr>
          <w:bCs/>
          <w:iCs/>
        </w:rPr>
        <w:t>observer l’influence de</w:t>
      </w:r>
      <w:r w:rsidR="00B86F2E">
        <w:rPr>
          <w:bCs/>
          <w:iCs/>
        </w:rPr>
        <w:t xml:space="preserve"> la diminution du maillage sur la durée </w:t>
      </w:r>
      <w:r>
        <w:rPr>
          <w:bCs/>
          <w:iCs/>
        </w:rPr>
        <w:t xml:space="preserve">et la vitesse </w:t>
      </w:r>
      <w:r w:rsidR="00B86F2E">
        <w:rPr>
          <w:bCs/>
          <w:iCs/>
        </w:rPr>
        <w:t>de stabilisation du site.</w:t>
      </w:r>
      <w:r>
        <w:rPr>
          <w:bCs/>
          <w:iCs/>
        </w:rPr>
        <w:t xml:space="preserve"> Cela permettra d’alimenter le </w:t>
      </w:r>
      <w:r w:rsidR="00193190">
        <w:rPr>
          <w:bCs/>
          <w:iCs/>
        </w:rPr>
        <w:t>REX</w:t>
      </w:r>
      <w:r w:rsidR="00193190">
        <w:rPr>
          <w:bCs/>
          <w:iCs/>
        </w:rPr>
        <w:t xml:space="preserve"> </w:t>
      </w:r>
      <w:r>
        <w:rPr>
          <w:bCs/>
          <w:iCs/>
        </w:rPr>
        <w:t>en cours et de faire évoluer l</w:t>
      </w:r>
      <w:r w:rsidR="00193190">
        <w:rPr>
          <w:bCs/>
          <w:iCs/>
        </w:rPr>
        <w:t xml:space="preserve">es critères de </w:t>
      </w:r>
      <w:r>
        <w:rPr>
          <w:bCs/>
          <w:iCs/>
        </w:rPr>
        <w:t xml:space="preserve">dimensionnement du clouage vertical </w:t>
      </w:r>
      <w:r w:rsidR="00193190">
        <w:rPr>
          <w:bCs/>
          <w:iCs/>
        </w:rPr>
        <w:t>appliqués actuellement sur le réseau ferré national.</w:t>
      </w:r>
    </w:p>
    <w:p w:rsidR="00AC4DAA" w:rsidRPr="00AC4DAA" w:rsidRDefault="00AC4DAA">
      <w:pPr>
        <w:autoSpaceDE w:val="0"/>
        <w:autoSpaceDN w:val="0"/>
        <w:adjustRightInd w:val="0"/>
        <w:spacing w:after="120" w:line="360" w:lineRule="auto"/>
        <w:jc w:val="both"/>
        <w:rPr>
          <w:bCs/>
          <w:iCs/>
        </w:rPr>
      </w:pPr>
    </w:p>
    <w:p w:rsidR="00C95423" w:rsidRDefault="00C95423">
      <w:pPr>
        <w:autoSpaceDE w:val="0"/>
        <w:autoSpaceDN w:val="0"/>
        <w:adjustRightInd w:val="0"/>
        <w:spacing w:after="120" w:line="360" w:lineRule="auto"/>
        <w:rPr>
          <w:iCs/>
        </w:rPr>
      </w:pPr>
      <w:r>
        <w:rPr>
          <w:b/>
          <w:bCs/>
          <w:i/>
          <w:iCs/>
        </w:rPr>
        <w:t xml:space="preserve">Mots-clés: </w:t>
      </w:r>
      <w:r w:rsidR="00505364">
        <w:rPr>
          <w:i/>
          <w:iCs/>
        </w:rPr>
        <w:t>ouvrages en terre ferroviaires</w:t>
      </w:r>
      <w:r w:rsidR="00466B34">
        <w:rPr>
          <w:i/>
          <w:iCs/>
        </w:rPr>
        <w:t>,</w:t>
      </w:r>
      <w:r w:rsidR="00505364">
        <w:rPr>
          <w:i/>
          <w:iCs/>
        </w:rPr>
        <w:t xml:space="preserve"> désordres</w:t>
      </w:r>
      <w:r w:rsidR="00AC4DAA">
        <w:rPr>
          <w:i/>
          <w:iCs/>
        </w:rPr>
        <w:t xml:space="preserve"> et surveillance, confortement par clouage vertical</w:t>
      </w:r>
      <w:r w:rsidR="002C7A60">
        <w:rPr>
          <w:i/>
          <w:iCs/>
        </w:rPr>
        <w:t>, optimisation</w:t>
      </w:r>
      <w:r w:rsidR="00466B34">
        <w:rPr>
          <w:i/>
          <w:iCs/>
        </w:rPr>
        <w:t xml:space="preserve">. </w:t>
      </w:r>
    </w:p>
    <w:p w:rsidR="00C95423" w:rsidRDefault="00C95423">
      <w:bookmarkStart w:id="0" w:name="_GoBack"/>
      <w:bookmarkEnd w:id="0"/>
    </w:p>
    <w:sectPr w:rsidR="00C9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60" w:rsidRDefault="00B40860">
      <w:pPr>
        <w:pStyle w:val="Corpsdetexte"/>
      </w:pPr>
      <w:r>
        <w:separator/>
      </w:r>
    </w:p>
  </w:endnote>
  <w:endnote w:type="continuationSeparator" w:id="0">
    <w:p w:rsidR="00B40860" w:rsidRDefault="00B40860">
      <w:pPr>
        <w:pStyle w:val="Corpsdetex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60" w:rsidRDefault="00B40860">
      <w:pPr>
        <w:pStyle w:val="Corpsdetexte"/>
      </w:pPr>
      <w:r>
        <w:separator/>
      </w:r>
    </w:p>
  </w:footnote>
  <w:footnote w:type="continuationSeparator" w:id="0">
    <w:p w:rsidR="00B40860" w:rsidRDefault="00B40860">
      <w:pPr>
        <w:pStyle w:val="Corpsdetext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23"/>
    <w:rsid w:val="000A0EB3"/>
    <w:rsid w:val="00107719"/>
    <w:rsid w:val="001223F2"/>
    <w:rsid w:val="00143A81"/>
    <w:rsid w:val="00146C10"/>
    <w:rsid w:val="00193190"/>
    <w:rsid w:val="001C0CAD"/>
    <w:rsid w:val="00242541"/>
    <w:rsid w:val="002728FE"/>
    <w:rsid w:val="00272AA5"/>
    <w:rsid w:val="00275B9C"/>
    <w:rsid w:val="002B623E"/>
    <w:rsid w:val="002C1862"/>
    <w:rsid w:val="002C7A60"/>
    <w:rsid w:val="002D491F"/>
    <w:rsid w:val="00315907"/>
    <w:rsid w:val="003B595F"/>
    <w:rsid w:val="003D71B3"/>
    <w:rsid w:val="003F6499"/>
    <w:rsid w:val="004269A4"/>
    <w:rsid w:val="00466B34"/>
    <w:rsid w:val="00481724"/>
    <w:rsid w:val="004E7313"/>
    <w:rsid w:val="00505364"/>
    <w:rsid w:val="00506D85"/>
    <w:rsid w:val="00515284"/>
    <w:rsid w:val="0059359E"/>
    <w:rsid w:val="00655A5D"/>
    <w:rsid w:val="0067355D"/>
    <w:rsid w:val="00741C9A"/>
    <w:rsid w:val="00751B22"/>
    <w:rsid w:val="007A3D32"/>
    <w:rsid w:val="0080567C"/>
    <w:rsid w:val="00853201"/>
    <w:rsid w:val="00854680"/>
    <w:rsid w:val="008C0452"/>
    <w:rsid w:val="008D7548"/>
    <w:rsid w:val="00945806"/>
    <w:rsid w:val="00977336"/>
    <w:rsid w:val="009A5343"/>
    <w:rsid w:val="009D731D"/>
    <w:rsid w:val="00A26FFB"/>
    <w:rsid w:val="00A333CB"/>
    <w:rsid w:val="00A43D35"/>
    <w:rsid w:val="00AC4DAA"/>
    <w:rsid w:val="00AF25BD"/>
    <w:rsid w:val="00B40860"/>
    <w:rsid w:val="00B86F2E"/>
    <w:rsid w:val="00C66F40"/>
    <w:rsid w:val="00C95423"/>
    <w:rsid w:val="00CB7B11"/>
    <w:rsid w:val="00CE7711"/>
    <w:rsid w:val="00DF2B5A"/>
    <w:rsid w:val="00E547EF"/>
    <w:rsid w:val="00EC7781"/>
    <w:rsid w:val="00F43AF9"/>
    <w:rsid w:val="00FB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PMingLiU"/>
      <w:sz w:val="24"/>
      <w:szCs w:val="24"/>
      <w:lang w:eastAsia="zh-TW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an1">
    <w:name w:val="Man1"/>
    <w:basedOn w:val="TM1"/>
    <w:pPr>
      <w:tabs>
        <w:tab w:val="right" w:leader="dot" w:pos="9062"/>
      </w:tabs>
      <w:spacing w:before="120" w:after="120" w:line="360" w:lineRule="auto"/>
    </w:pPr>
    <w:rPr>
      <w:b/>
      <w:caps/>
      <w:noProof/>
      <w:szCs w:val="20"/>
    </w:rPr>
  </w:style>
  <w:style w:type="paragraph" w:styleId="TM1">
    <w:name w:val="toc 1"/>
    <w:basedOn w:val="Normal"/>
    <w:next w:val="Normal"/>
    <w:autoRedefine/>
    <w:semiHidden/>
  </w:style>
  <w:style w:type="paragraph" w:customStyle="1" w:styleId="Style2">
    <w:name w:val="Style2"/>
    <w:basedOn w:val="TM2"/>
    <w:next w:val="TM3"/>
    <w:rPr>
      <w:szCs w:val="28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customStyle="1" w:styleId="Mandour1">
    <w:name w:val="Mandour1"/>
    <w:basedOn w:val="Titre1"/>
    <w:autoRedefine/>
    <w:pPr>
      <w:spacing w:before="120" w:after="120" w:line="360" w:lineRule="auto"/>
    </w:pPr>
    <w:rPr>
      <w:rFonts w:ascii="Times New Roman" w:hAnsi="Times New Roman" w:cs="Times New Roman"/>
      <w:sz w:val="28"/>
      <w:szCs w:val="28"/>
    </w:rPr>
  </w:style>
  <w:style w:type="paragraph" w:customStyle="1" w:styleId="Mandour2">
    <w:name w:val="Mandour2"/>
    <w:basedOn w:val="Normal"/>
    <w:autoRedefine/>
    <w:pPr>
      <w:spacing w:before="120" w:after="120" w:line="360" w:lineRule="auto"/>
      <w:ind w:left="284"/>
    </w:pPr>
    <w:rPr>
      <w:b/>
      <w:bCs/>
      <w:szCs w:val="12"/>
    </w:rPr>
  </w:style>
  <w:style w:type="paragraph" w:customStyle="1" w:styleId="Mandour3">
    <w:name w:val="Mandour3"/>
    <w:basedOn w:val="Normal"/>
    <w:autoRedefine/>
    <w:pPr>
      <w:spacing w:before="120" w:after="120" w:line="360" w:lineRule="auto"/>
      <w:ind w:left="1418"/>
      <w:jc w:val="both"/>
    </w:pPr>
    <w:rPr>
      <w:b/>
      <w:bCs/>
    </w:rPr>
  </w:style>
  <w:style w:type="paragraph" w:customStyle="1" w:styleId="Mandour4">
    <w:name w:val="Mandour4"/>
    <w:basedOn w:val="Normal"/>
    <w:next w:val="Normal"/>
    <w:autoRedefine/>
    <w:pPr>
      <w:tabs>
        <w:tab w:val="left" w:pos="0"/>
        <w:tab w:val="left" w:pos="1980"/>
        <w:tab w:val="left" w:pos="2160"/>
        <w:tab w:val="left" w:pos="3282"/>
      </w:tabs>
      <w:spacing w:before="120" w:after="120" w:line="360" w:lineRule="auto"/>
      <w:ind w:left="2268"/>
      <w:jc w:val="both"/>
    </w:pPr>
    <w:rPr>
      <w:b/>
      <w:bCs/>
    </w:rPr>
  </w:style>
  <w:style w:type="paragraph" w:styleId="Tabledesillustrations">
    <w:name w:val="table of figures"/>
    <w:basedOn w:val="Normal"/>
    <w:next w:val="Normal"/>
    <w:semiHidden/>
    <w:pPr>
      <w:spacing w:line="360" w:lineRule="auto"/>
      <w:ind w:left="480" w:hanging="480"/>
    </w:pPr>
    <w:rPr>
      <w:sz w:val="20"/>
      <w:szCs w:val="20"/>
    </w:rPr>
  </w:style>
  <w:style w:type="paragraph" w:customStyle="1" w:styleId="MandIntro">
    <w:name w:val="MandIntro"/>
    <w:basedOn w:val="Normal"/>
    <w:pPr>
      <w:spacing w:before="100" w:beforeAutospacing="1"/>
    </w:pPr>
    <w:rPr>
      <w:b/>
      <w:bCs/>
      <w:sz w:val="28"/>
    </w:rPr>
  </w:style>
  <w:style w:type="paragraph" w:customStyle="1" w:styleId="MandParti">
    <w:name w:val="MandParti"/>
    <w:basedOn w:val="Normal"/>
    <w:autoRedefine/>
    <w:pPr>
      <w:pBdr>
        <w:top w:val="single" w:sz="4" w:space="1" w:color="auto"/>
        <w:bottom w:val="single" w:sz="4" w:space="1" w:color="auto"/>
      </w:pBdr>
      <w:spacing w:before="100" w:beforeAutospacing="1" w:line="360" w:lineRule="auto"/>
      <w:jc w:val="center"/>
    </w:pPr>
    <w:rPr>
      <w:b/>
      <w:bCs/>
      <w:caps/>
      <w:sz w:val="32"/>
      <w:szCs w:val="32"/>
    </w:rPr>
  </w:style>
  <w:style w:type="paragraph" w:customStyle="1" w:styleId="MandPrem">
    <w:name w:val="MandPrem"/>
    <w:basedOn w:val="Mandour1"/>
    <w:pPr>
      <w:spacing w:before="480" w:after="240" w:line="240" w:lineRule="auto"/>
      <w:jc w:val="center"/>
    </w:pPr>
    <w:rPr>
      <w:rFonts w:cs="Arial"/>
      <w:iCs/>
    </w:rPr>
  </w:style>
  <w:style w:type="paragraph" w:styleId="Corpsdetexte">
    <w:name w:val="Body Text"/>
    <w:basedOn w:val="Normal"/>
    <w:pPr>
      <w:spacing w:after="120"/>
    </w:pPr>
    <w:rPr>
      <w:rFonts w:eastAsia="Times New Roman"/>
      <w:lang w:eastAsia="fr-FR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st1">
    <w:name w:val="st1"/>
    <w:rsid w:val="00FB2A2B"/>
  </w:style>
  <w:style w:type="paragraph" w:styleId="Textedebulles">
    <w:name w:val="Balloon Text"/>
    <w:basedOn w:val="Normal"/>
    <w:link w:val="TextedebullesCar"/>
    <w:rsid w:val="001931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3190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PMingLiU"/>
      <w:sz w:val="24"/>
      <w:szCs w:val="24"/>
      <w:lang w:eastAsia="zh-TW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an1">
    <w:name w:val="Man1"/>
    <w:basedOn w:val="TM1"/>
    <w:pPr>
      <w:tabs>
        <w:tab w:val="right" w:leader="dot" w:pos="9062"/>
      </w:tabs>
      <w:spacing w:before="120" w:after="120" w:line="360" w:lineRule="auto"/>
    </w:pPr>
    <w:rPr>
      <w:b/>
      <w:caps/>
      <w:noProof/>
      <w:szCs w:val="20"/>
    </w:rPr>
  </w:style>
  <w:style w:type="paragraph" w:styleId="TM1">
    <w:name w:val="toc 1"/>
    <w:basedOn w:val="Normal"/>
    <w:next w:val="Normal"/>
    <w:autoRedefine/>
    <w:semiHidden/>
  </w:style>
  <w:style w:type="paragraph" w:customStyle="1" w:styleId="Style2">
    <w:name w:val="Style2"/>
    <w:basedOn w:val="TM2"/>
    <w:next w:val="TM3"/>
    <w:rPr>
      <w:szCs w:val="28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customStyle="1" w:styleId="Mandour1">
    <w:name w:val="Mandour1"/>
    <w:basedOn w:val="Titre1"/>
    <w:autoRedefine/>
    <w:pPr>
      <w:spacing w:before="120" w:after="120" w:line="360" w:lineRule="auto"/>
    </w:pPr>
    <w:rPr>
      <w:rFonts w:ascii="Times New Roman" w:hAnsi="Times New Roman" w:cs="Times New Roman"/>
      <w:sz w:val="28"/>
      <w:szCs w:val="28"/>
    </w:rPr>
  </w:style>
  <w:style w:type="paragraph" w:customStyle="1" w:styleId="Mandour2">
    <w:name w:val="Mandour2"/>
    <w:basedOn w:val="Normal"/>
    <w:autoRedefine/>
    <w:pPr>
      <w:spacing w:before="120" w:after="120" w:line="360" w:lineRule="auto"/>
      <w:ind w:left="284"/>
    </w:pPr>
    <w:rPr>
      <w:b/>
      <w:bCs/>
      <w:szCs w:val="12"/>
    </w:rPr>
  </w:style>
  <w:style w:type="paragraph" w:customStyle="1" w:styleId="Mandour3">
    <w:name w:val="Mandour3"/>
    <w:basedOn w:val="Normal"/>
    <w:autoRedefine/>
    <w:pPr>
      <w:spacing w:before="120" w:after="120" w:line="360" w:lineRule="auto"/>
      <w:ind w:left="1418"/>
      <w:jc w:val="both"/>
    </w:pPr>
    <w:rPr>
      <w:b/>
      <w:bCs/>
    </w:rPr>
  </w:style>
  <w:style w:type="paragraph" w:customStyle="1" w:styleId="Mandour4">
    <w:name w:val="Mandour4"/>
    <w:basedOn w:val="Normal"/>
    <w:next w:val="Normal"/>
    <w:autoRedefine/>
    <w:pPr>
      <w:tabs>
        <w:tab w:val="left" w:pos="0"/>
        <w:tab w:val="left" w:pos="1980"/>
        <w:tab w:val="left" w:pos="2160"/>
        <w:tab w:val="left" w:pos="3282"/>
      </w:tabs>
      <w:spacing w:before="120" w:after="120" w:line="360" w:lineRule="auto"/>
      <w:ind w:left="2268"/>
      <w:jc w:val="both"/>
    </w:pPr>
    <w:rPr>
      <w:b/>
      <w:bCs/>
    </w:rPr>
  </w:style>
  <w:style w:type="paragraph" w:styleId="Tabledesillustrations">
    <w:name w:val="table of figures"/>
    <w:basedOn w:val="Normal"/>
    <w:next w:val="Normal"/>
    <w:semiHidden/>
    <w:pPr>
      <w:spacing w:line="360" w:lineRule="auto"/>
      <w:ind w:left="480" w:hanging="480"/>
    </w:pPr>
    <w:rPr>
      <w:sz w:val="20"/>
      <w:szCs w:val="20"/>
    </w:rPr>
  </w:style>
  <w:style w:type="paragraph" w:customStyle="1" w:styleId="MandIntro">
    <w:name w:val="MandIntro"/>
    <w:basedOn w:val="Normal"/>
    <w:pPr>
      <w:spacing w:before="100" w:beforeAutospacing="1"/>
    </w:pPr>
    <w:rPr>
      <w:b/>
      <w:bCs/>
      <w:sz w:val="28"/>
    </w:rPr>
  </w:style>
  <w:style w:type="paragraph" w:customStyle="1" w:styleId="MandParti">
    <w:name w:val="MandParti"/>
    <w:basedOn w:val="Normal"/>
    <w:autoRedefine/>
    <w:pPr>
      <w:pBdr>
        <w:top w:val="single" w:sz="4" w:space="1" w:color="auto"/>
        <w:bottom w:val="single" w:sz="4" w:space="1" w:color="auto"/>
      </w:pBdr>
      <w:spacing w:before="100" w:beforeAutospacing="1" w:line="360" w:lineRule="auto"/>
      <w:jc w:val="center"/>
    </w:pPr>
    <w:rPr>
      <w:b/>
      <w:bCs/>
      <w:caps/>
      <w:sz w:val="32"/>
      <w:szCs w:val="32"/>
    </w:rPr>
  </w:style>
  <w:style w:type="paragraph" w:customStyle="1" w:styleId="MandPrem">
    <w:name w:val="MandPrem"/>
    <w:basedOn w:val="Mandour1"/>
    <w:pPr>
      <w:spacing w:before="480" w:after="240" w:line="240" w:lineRule="auto"/>
      <w:jc w:val="center"/>
    </w:pPr>
    <w:rPr>
      <w:rFonts w:cs="Arial"/>
      <w:iCs/>
    </w:rPr>
  </w:style>
  <w:style w:type="paragraph" w:styleId="Corpsdetexte">
    <w:name w:val="Body Text"/>
    <w:basedOn w:val="Normal"/>
    <w:pPr>
      <w:spacing w:after="120"/>
    </w:pPr>
    <w:rPr>
      <w:rFonts w:eastAsia="Times New Roman"/>
      <w:lang w:eastAsia="fr-FR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st1">
    <w:name w:val="st1"/>
    <w:rsid w:val="00FB2A2B"/>
  </w:style>
  <w:style w:type="paragraph" w:styleId="Textedebulles">
    <w:name w:val="Balloon Text"/>
    <w:basedOn w:val="Normal"/>
    <w:link w:val="TextedebullesCar"/>
    <w:rsid w:val="001931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3190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58EB-21CA-41D8-93FE-A488B0B0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Caractérisation géotechnique des sols urbains</vt:lpstr>
    </vt:vector>
  </TitlesOfParts>
  <Company>ksiman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Caractérisation géotechnique des sols urbains</dc:title>
  <dc:creator>houcine</dc:creator>
  <cp:lastModifiedBy>BELUT Florence</cp:lastModifiedBy>
  <cp:revision>3</cp:revision>
  <cp:lastPrinted>2015-10-09T05:43:00Z</cp:lastPrinted>
  <dcterms:created xsi:type="dcterms:W3CDTF">2015-10-13T09:32:00Z</dcterms:created>
  <dcterms:modified xsi:type="dcterms:W3CDTF">2015-10-13T09:41:00Z</dcterms:modified>
</cp:coreProperties>
</file>